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77" w:rsidRPr="00915A77" w:rsidRDefault="00915A77" w:rsidP="00915A77">
      <w:pPr>
        <w:spacing w:before="100" w:beforeAutospacing="1" w:after="100" w:afterAutospacing="1"/>
        <w:jc w:val="center"/>
        <w:outlineLvl w:val="2"/>
        <w:rPr>
          <w:rFonts w:ascii="Arial" w:hAnsi="Arial" w:cs="Arial"/>
          <w:b/>
          <w:bCs/>
          <w:sz w:val="27"/>
          <w:szCs w:val="27"/>
        </w:rPr>
      </w:pPr>
      <w:r w:rsidRPr="00915A77">
        <w:rPr>
          <w:rFonts w:ascii="Arial" w:hAnsi="Arial" w:cs="Arial"/>
          <w:b/>
          <w:bCs/>
          <w:sz w:val="27"/>
          <w:szCs w:val="27"/>
        </w:rPr>
        <w:t>RS 4:61</w:t>
      </w:r>
    </w:p>
    <w:p w:rsidR="00915A77" w:rsidRDefault="00915A77" w:rsidP="00915A77">
      <w:pPr>
        <w:pStyle w:val="00001"/>
        <w:jc w:val="center"/>
        <w:rPr>
          <w:color w:val="000000"/>
        </w:rPr>
      </w:pPr>
      <w:proofErr w:type="gramStart"/>
      <w:r>
        <w:rPr>
          <w:color w:val="000000"/>
        </w:rPr>
        <w:t>CHAPTER 3.</w:t>
      </w:r>
      <w:proofErr w:type="gramEnd"/>
      <w:r>
        <w:rPr>
          <w:color w:val="000000"/>
        </w:rPr>
        <w:t xml:space="preserve">  BOXING AND WRESTLING</w:t>
      </w:r>
    </w:p>
    <w:p w:rsidR="00915A77" w:rsidRDefault="00915A77" w:rsidP="00915A77">
      <w:pPr>
        <w:pStyle w:val="00002"/>
        <w:rPr>
          <w:color w:val="000000"/>
        </w:rPr>
      </w:pPr>
      <w:r>
        <w:rPr>
          <w:color w:val="000000"/>
        </w:rPr>
        <w:t>§61.  State Boxing and Wrestling Commission; domicile; authority</w:t>
      </w:r>
    </w:p>
    <w:p w:rsidR="00915A77" w:rsidRDefault="00915A77" w:rsidP="00915A77">
      <w:pPr>
        <w:pStyle w:val="00003"/>
        <w:rPr>
          <w:color w:val="000000"/>
        </w:rPr>
      </w:pPr>
      <w:r>
        <w:rPr>
          <w:color w:val="000000"/>
        </w:rPr>
        <w:t>A.  There is hereby created a State Boxing and Wrestling Commission within the office of the governor.  It shall consist of seven members, all of whom shall be appointed by the governor to serve at the pleasure of the governor making the appointment.  Five members appointed by the governor shall be appointed, one from each Public Service Commission district and two from the state at large.  Each appointment by the governor shall be submitted to the Senate for confirmation.  The governor shall designate one member as chairman, one member as secretary, and one member as vice chairman.  The secretary shall execute a bond of five thousand dollars, in favor of the state treasurer, for the faithful performance of the duties of his office. The premium of this bond shall be paid out of the commission funds.</w:t>
      </w:r>
    </w:p>
    <w:p w:rsidR="00915A77" w:rsidRDefault="00915A77" w:rsidP="00915A77">
      <w:pPr>
        <w:pStyle w:val="00003"/>
        <w:rPr>
          <w:color w:val="000000"/>
        </w:rPr>
      </w:pPr>
      <w:r>
        <w:rPr>
          <w:color w:val="000000"/>
        </w:rPr>
        <w:t>B.  The commission has sole and full discretion, authority, management, regulation, and control of all professional boxing, mixed technique events, and wrestling contests held, conducted, or given within this state, and such other powers and duties specified in this Chapter, and all other powers necessary and proper to enable it to execute fully and effectively all of the objects, purposes, duties, and policies of this Chapter.  The commission shall have power in its discretion to declare forfeited the prize, remuneration, or purse, or any part thereof, belonging to the contestants or one of them, or the share thereof of any manager if, in its judgment, such contestant or contestants are not honestly competing or the contestant or manager of a contestant, as the case may be, has committed an act in the premises in violation of any rule, order, or regulation of the commission.</w:t>
      </w:r>
    </w:p>
    <w:p w:rsidR="00915A77" w:rsidRDefault="00915A77" w:rsidP="00915A77">
      <w:pPr>
        <w:pStyle w:val="00003"/>
        <w:rPr>
          <w:color w:val="000000"/>
        </w:rPr>
      </w:pPr>
      <w:r>
        <w:rPr>
          <w:color w:val="000000"/>
        </w:rPr>
        <w:t>C.  The commission shall be domiciled in and shall maintain an office in the city of New Orleans, where and only where it may be sued.  The commission may sue to enforce the provisions of this Chapter in any of the courts in the state.</w:t>
      </w:r>
    </w:p>
    <w:p w:rsidR="00915A77" w:rsidRDefault="00915A77" w:rsidP="00915A77">
      <w:pPr>
        <w:pStyle w:val="00003"/>
        <w:rPr>
          <w:color w:val="000000"/>
        </w:rPr>
      </w:pPr>
      <w:r>
        <w:rPr>
          <w:color w:val="000000"/>
        </w:rPr>
        <w:t>D.  The commission may make any rules and regulations for the administration of its affairs as are not inconsistent with the terms and provisions of this Chapter.  Four members of the commission constitute a quorum, and the concurrence of at least four members is necessary to render a decision, one of whom must be the chairman and one of whom must be the vice chairman or the secretary.</w:t>
      </w:r>
    </w:p>
    <w:p w:rsidR="00915A77" w:rsidRDefault="00915A77" w:rsidP="00915A77">
      <w:pPr>
        <w:pStyle w:val="00003"/>
        <w:rPr>
          <w:color w:val="000000"/>
        </w:rPr>
      </w:pPr>
      <w:r>
        <w:rPr>
          <w:color w:val="000000"/>
        </w:rPr>
        <w:t>E.  All members of the commission shall be persons of good moral character.  No member of the commission shall be connected with professional or amateur boxing or wrestling either as promoter, associate promoter, agent, employee, manager, publicity agent or professional better, second, fighter or wrestler during his tenure as a member of the commission.</w:t>
      </w:r>
    </w:p>
    <w:p w:rsidR="00915A77" w:rsidRDefault="00915A77" w:rsidP="00915A77">
      <w:pPr>
        <w:pStyle w:val="00003"/>
        <w:rPr>
          <w:color w:val="000000"/>
        </w:rPr>
      </w:pPr>
      <w:r>
        <w:rPr>
          <w:color w:val="000000"/>
        </w:rPr>
        <w:t>F.  No member of the commission shall be liable in a civil action for any act performed in good faith in the execution of his duties as a commission member.</w:t>
      </w:r>
    </w:p>
    <w:p w:rsidR="00915A77" w:rsidRDefault="00915A77" w:rsidP="00915A77">
      <w:pPr>
        <w:pStyle w:val="00003"/>
        <w:rPr>
          <w:color w:val="000000"/>
        </w:rPr>
      </w:pPr>
      <w:proofErr w:type="gramStart"/>
      <w:r>
        <w:rPr>
          <w:color w:val="000000"/>
        </w:rPr>
        <w:t>Acts 1974, No. 553, §1.</w:t>
      </w:r>
      <w:proofErr w:type="gramEnd"/>
      <w:r>
        <w:rPr>
          <w:color w:val="000000"/>
        </w:rPr>
        <w:t xml:space="preserve">  Amended by Acts 1977, No. 236, §1, eff. July 5, 1977; Acts 1980, No. 721, §1, eff. July 29, 1980; Acts 1985, No. 752, §1; Acts 1988, No. 576, §1, eff. Sept.  </w:t>
      </w:r>
      <w:proofErr w:type="gramStart"/>
      <w:r>
        <w:rPr>
          <w:color w:val="000000"/>
        </w:rPr>
        <w:t>1, 1988; Acts 1993, No. 192, §1; Acts 2001, No. 8, §1, eff. July 1, 2001; Acts 2007, No. 90, §1.</w:t>
      </w:r>
      <w:proofErr w:type="gramEnd"/>
    </w:p>
    <w:p w:rsidR="00915A77" w:rsidRDefault="00915A77" w:rsidP="00915A77">
      <w:pPr>
        <w:pStyle w:val="00004"/>
        <w:rPr>
          <w:color w:val="000000"/>
        </w:rPr>
      </w:pPr>
      <w:r>
        <w:rPr>
          <w:color w:val="000000"/>
        </w:rPr>
        <w:t>NOTE:  SEE ACTS 1988, No. 576, §2.</w:t>
      </w:r>
    </w:p>
    <w:p w:rsidR="004D5637" w:rsidRDefault="004D5637">
      <w:pPr>
        <w:rPr>
          <w:rFonts w:ascii="Times New Roman" w:hAnsi="Times New Roman"/>
        </w:rPr>
      </w:pPr>
    </w:p>
    <w:p w:rsidR="00915A77" w:rsidRDefault="00915A77">
      <w:pPr>
        <w:rPr>
          <w:rFonts w:ascii="Times New Roman" w:hAnsi="Times New Roman"/>
        </w:rPr>
      </w:pPr>
    </w:p>
    <w:p w:rsidR="00915A77" w:rsidRDefault="00915A77" w:rsidP="00915A77">
      <w:pPr>
        <w:pStyle w:val="Heading3"/>
        <w:jc w:val="center"/>
        <w:rPr>
          <w:rFonts w:ascii="Arial" w:hAnsi="Arial" w:cs="Arial"/>
        </w:rPr>
      </w:pPr>
    </w:p>
    <w:p w:rsidR="00915A77" w:rsidRDefault="00915A77" w:rsidP="00915A77">
      <w:pPr>
        <w:pStyle w:val="Heading3"/>
        <w:jc w:val="center"/>
        <w:rPr>
          <w:rFonts w:ascii="Arial" w:hAnsi="Arial" w:cs="Arial"/>
        </w:rPr>
      </w:pPr>
      <w:r>
        <w:rPr>
          <w:rFonts w:ascii="Arial" w:hAnsi="Arial" w:cs="Arial"/>
        </w:rPr>
        <w:lastRenderedPageBreak/>
        <w:t>RS 4:65</w:t>
      </w:r>
    </w:p>
    <w:p w:rsidR="00915A77" w:rsidRPr="00915A77" w:rsidRDefault="00915A77" w:rsidP="00915A77">
      <w:pPr>
        <w:spacing w:line="280" w:lineRule="atLeast"/>
        <w:ind w:hanging="720"/>
        <w:rPr>
          <w:rFonts w:ascii="Times New Roman" w:hAnsi="Times New Roman"/>
          <w:color w:val="000000"/>
          <w:szCs w:val="24"/>
        </w:rPr>
      </w:pPr>
      <w:r w:rsidRPr="00915A77">
        <w:rPr>
          <w:rFonts w:ascii="Times New Roman" w:hAnsi="Times New Roman"/>
          <w:color w:val="000000"/>
          <w:szCs w:val="24"/>
        </w:rPr>
        <w:t>§65.  Licenses; fees; bond</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 xml:space="preserve">A.(1)  The commission may issue a promoter's license to hold, conduct, or give boxing, mixed technique event, and wrestling contests or exhibitions to any applicant, including, in the case of corporations, its officers and stockholders, who, in the discretion of the commission, has the financial responsibility, experience, character, and general fitness, to be such that the licensing of such applicant will be consistent with the public interest, convenience, or necessity and with the best interests of boxing, mixed technique event, or wrestling generally and in conformity with this Chapter and the rules and regulations of the commission.  Such licenses shall be issued for the calendar year, and the commission may require applicants </w:t>
      </w:r>
      <w:proofErr w:type="spellStart"/>
      <w:r w:rsidRPr="00915A77">
        <w:rPr>
          <w:rFonts w:ascii="Times New Roman" w:hAnsi="Times New Roman"/>
          <w:color w:val="000000"/>
          <w:szCs w:val="24"/>
        </w:rPr>
        <w:t>therefor</w:t>
      </w:r>
      <w:proofErr w:type="spellEnd"/>
      <w:r w:rsidRPr="00915A77">
        <w:rPr>
          <w:rFonts w:ascii="Times New Roman" w:hAnsi="Times New Roman"/>
          <w:color w:val="000000"/>
          <w:szCs w:val="24"/>
        </w:rPr>
        <w:t xml:space="preserve"> to submit their applications prior to the commencement of the calendar year.  The holding of such a license shall not be construed to grant the licensee a vested right to have the license renewed the following calendar year.  The </w:t>
      </w:r>
      <w:proofErr w:type="gramStart"/>
      <w:r w:rsidRPr="00915A77">
        <w:rPr>
          <w:rFonts w:ascii="Times New Roman" w:hAnsi="Times New Roman"/>
          <w:color w:val="000000"/>
          <w:szCs w:val="24"/>
        </w:rPr>
        <w:t>number of licenses to be issued to hold, conduct</w:t>
      </w:r>
      <w:proofErr w:type="gramEnd"/>
      <w:r w:rsidRPr="00915A77">
        <w:rPr>
          <w:rFonts w:ascii="Times New Roman" w:hAnsi="Times New Roman"/>
          <w:color w:val="000000"/>
          <w:szCs w:val="24"/>
        </w:rPr>
        <w:t>, or give boxing, mixed technique event, or wrestling contests or exhibitions in any particular parish shall be determined by the commission, in its discretion consistent with the public interest, convenience, or necessity and with the best interests of boxing or wrestling generally.</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(2)  Before any such license is granted, the applicant shall execute and file with the State Boxing and Wrestling Commission a bond of five thousand dollars in favor of the Louisiana State Boxing and Wrestling Commission as a security of good faith and ability to abide by the terms and provisions of this Chapter, for which the commission secretary shall issue to the applicant a certificate of its filing and approval.  In lieu thereof, a certified check will be acceptable, which amount shall be kept on deposit by the secretary for the duration of the license period.  This bond may be increased by the commission before approving the holding, conducting, or giving of any boxing, mixed technique event, or wrestling exhibition or contest, based upon the seating capacity of the hall or facility where said contest or exhibition is to be conducted.  The following schedule shall govern the amount of the additional bond that may be required to be posted with the commission for the holding, conducting, or giving of a boxing, mixed technique event, or wrestling contest or exhibition:</w:t>
      </w:r>
    </w:p>
    <w:p w:rsidR="00915A77" w:rsidRPr="00915A77" w:rsidRDefault="00915A77" w:rsidP="00915A77">
      <w:pPr>
        <w:spacing w:line="280" w:lineRule="atLeast"/>
        <w:jc w:val="center"/>
        <w:rPr>
          <w:rFonts w:ascii="Times New Roman" w:hAnsi="Times New Roman"/>
          <w:color w:val="000000"/>
          <w:szCs w:val="24"/>
        </w:rPr>
      </w:pPr>
      <w:r w:rsidRPr="00915A77">
        <w:rPr>
          <w:rFonts w:ascii="Times New Roman" w:hAnsi="Times New Roman"/>
          <w:color w:val="000000"/>
          <w:szCs w:val="24"/>
        </w:rPr>
        <w:t>BOND REQUIREMENTS</w:t>
      </w:r>
    </w:p>
    <w:p w:rsidR="00915A77" w:rsidRPr="00915A77" w:rsidRDefault="00915A77" w:rsidP="00915A77">
      <w:pPr>
        <w:spacing w:line="280" w:lineRule="atLeast"/>
        <w:ind w:firstLine="838"/>
        <w:rPr>
          <w:rFonts w:ascii="Times New Roman" w:hAnsi="Times New Roman"/>
          <w:color w:val="000000"/>
          <w:szCs w:val="24"/>
        </w:rPr>
      </w:pPr>
      <w:r w:rsidRPr="00915A77">
        <w:rPr>
          <w:rFonts w:ascii="Times New Roman" w:hAnsi="Times New Roman"/>
          <w:color w:val="000000"/>
          <w:szCs w:val="24"/>
        </w:rPr>
        <w:t>SEATING CAPACITY</w:t>
      </w:r>
    </w:p>
    <w:p w:rsidR="00915A77" w:rsidRPr="00915A77" w:rsidRDefault="00915A77" w:rsidP="00915A77">
      <w:pPr>
        <w:spacing w:line="280" w:lineRule="atLeast"/>
        <w:ind w:firstLine="6861"/>
        <w:rPr>
          <w:rFonts w:ascii="Times New Roman" w:hAnsi="Times New Roman"/>
          <w:color w:val="000000"/>
          <w:szCs w:val="24"/>
        </w:rPr>
      </w:pPr>
      <w:r w:rsidRPr="00915A77">
        <w:rPr>
          <w:rFonts w:ascii="Times New Roman" w:hAnsi="Times New Roman"/>
          <w:color w:val="000000"/>
          <w:szCs w:val="24"/>
        </w:rPr>
        <w:t>BOND</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w:t>
      </w:r>
    </w:p>
    <w:p w:rsidR="00915A77" w:rsidRPr="00915A77" w:rsidRDefault="00915A77" w:rsidP="00915A77">
      <w:pPr>
        <w:spacing w:line="280" w:lineRule="atLeast"/>
        <w:ind w:firstLine="1260"/>
        <w:rPr>
          <w:rFonts w:ascii="Times New Roman" w:hAnsi="Times New Roman"/>
          <w:color w:val="000000"/>
          <w:szCs w:val="24"/>
        </w:rPr>
      </w:pPr>
      <w:r w:rsidRPr="00915A77">
        <w:rPr>
          <w:rFonts w:ascii="Times New Roman" w:hAnsi="Times New Roman"/>
          <w:color w:val="000000"/>
          <w:szCs w:val="24"/>
        </w:rPr>
        <w:t>0 to 999</w:t>
      </w:r>
    </w:p>
    <w:p w:rsidR="00915A77" w:rsidRPr="00915A77" w:rsidRDefault="00915A77" w:rsidP="00915A77">
      <w:pPr>
        <w:spacing w:line="280" w:lineRule="atLeast"/>
        <w:ind w:firstLine="6570"/>
        <w:rPr>
          <w:rFonts w:ascii="Times New Roman" w:hAnsi="Times New Roman"/>
          <w:color w:val="000000"/>
          <w:szCs w:val="24"/>
        </w:rPr>
      </w:pPr>
      <w:r w:rsidRPr="00915A77">
        <w:rPr>
          <w:rFonts w:ascii="Times New Roman" w:hAnsi="Times New Roman"/>
          <w:color w:val="000000"/>
          <w:szCs w:val="24"/>
        </w:rPr>
        <w:t>$</w:t>
      </w:r>
    </w:p>
    <w:p w:rsidR="00915A77" w:rsidRPr="00915A77" w:rsidRDefault="00915A77" w:rsidP="00915A77">
      <w:pPr>
        <w:spacing w:line="280" w:lineRule="atLeast"/>
        <w:ind w:firstLine="6900"/>
        <w:rPr>
          <w:rFonts w:ascii="Times New Roman" w:hAnsi="Times New Roman"/>
          <w:color w:val="000000"/>
          <w:szCs w:val="24"/>
        </w:rPr>
      </w:pPr>
      <w:r w:rsidRPr="00915A77">
        <w:rPr>
          <w:rFonts w:ascii="Times New Roman" w:hAnsi="Times New Roman"/>
          <w:color w:val="000000"/>
          <w:szCs w:val="24"/>
        </w:rPr>
        <w:t>5,000.00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(2)</w:t>
      </w:r>
    </w:p>
    <w:p w:rsidR="00915A77" w:rsidRPr="00915A77" w:rsidRDefault="00915A77" w:rsidP="00915A77">
      <w:pPr>
        <w:spacing w:line="280" w:lineRule="atLeast"/>
        <w:ind w:firstLine="1260"/>
        <w:rPr>
          <w:rFonts w:ascii="Times New Roman" w:hAnsi="Times New Roman"/>
          <w:color w:val="000000"/>
          <w:szCs w:val="24"/>
        </w:rPr>
      </w:pPr>
      <w:r w:rsidRPr="00915A77">
        <w:rPr>
          <w:rFonts w:ascii="Times New Roman" w:hAnsi="Times New Roman"/>
          <w:color w:val="000000"/>
          <w:szCs w:val="24"/>
        </w:rPr>
        <w:t>1,000 to 2,999</w:t>
      </w:r>
    </w:p>
    <w:p w:rsidR="00915A77" w:rsidRPr="00915A77" w:rsidRDefault="00915A77" w:rsidP="00915A77">
      <w:pPr>
        <w:spacing w:line="280" w:lineRule="atLeast"/>
        <w:ind w:firstLine="6570"/>
        <w:rPr>
          <w:rFonts w:ascii="Times New Roman" w:hAnsi="Times New Roman"/>
          <w:color w:val="000000"/>
          <w:szCs w:val="24"/>
        </w:rPr>
      </w:pPr>
      <w:r w:rsidRPr="00915A77">
        <w:rPr>
          <w:rFonts w:ascii="Times New Roman" w:hAnsi="Times New Roman"/>
          <w:color w:val="000000"/>
          <w:szCs w:val="24"/>
        </w:rPr>
        <w:t>$</w:t>
      </w:r>
    </w:p>
    <w:p w:rsidR="00915A77" w:rsidRPr="00915A77" w:rsidRDefault="00915A77" w:rsidP="00915A77">
      <w:pPr>
        <w:spacing w:line="280" w:lineRule="atLeast"/>
        <w:ind w:firstLine="6780"/>
        <w:rPr>
          <w:rFonts w:ascii="Times New Roman" w:hAnsi="Times New Roman"/>
          <w:color w:val="000000"/>
          <w:szCs w:val="24"/>
        </w:rPr>
      </w:pPr>
      <w:r w:rsidRPr="00915A77">
        <w:rPr>
          <w:rFonts w:ascii="Times New Roman" w:hAnsi="Times New Roman"/>
          <w:color w:val="000000"/>
          <w:szCs w:val="24"/>
        </w:rPr>
        <w:t>15,000.00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(3)</w:t>
      </w:r>
    </w:p>
    <w:p w:rsidR="00915A77" w:rsidRPr="00915A77" w:rsidRDefault="00915A77" w:rsidP="00915A77">
      <w:pPr>
        <w:spacing w:line="280" w:lineRule="atLeast"/>
        <w:ind w:firstLine="1260"/>
        <w:rPr>
          <w:rFonts w:ascii="Times New Roman" w:hAnsi="Times New Roman"/>
          <w:color w:val="000000"/>
          <w:szCs w:val="24"/>
        </w:rPr>
      </w:pPr>
      <w:r w:rsidRPr="00915A77">
        <w:rPr>
          <w:rFonts w:ascii="Times New Roman" w:hAnsi="Times New Roman"/>
          <w:color w:val="000000"/>
          <w:szCs w:val="24"/>
        </w:rPr>
        <w:t>3,000 to 5,999</w:t>
      </w:r>
    </w:p>
    <w:p w:rsidR="00915A77" w:rsidRPr="00915A77" w:rsidRDefault="00915A77" w:rsidP="00915A77">
      <w:pPr>
        <w:spacing w:line="280" w:lineRule="atLeast"/>
        <w:ind w:firstLine="6570"/>
        <w:rPr>
          <w:rFonts w:ascii="Times New Roman" w:hAnsi="Times New Roman"/>
          <w:color w:val="000000"/>
          <w:szCs w:val="24"/>
        </w:rPr>
      </w:pPr>
      <w:r w:rsidRPr="00915A77">
        <w:rPr>
          <w:rFonts w:ascii="Times New Roman" w:hAnsi="Times New Roman"/>
          <w:color w:val="000000"/>
          <w:szCs w:val="24"/>
        </w:rPr>
        <w:t>$</w:t>
      </w:r>
    </w:p>
    <w:p w:rsidR="00915A77" w:rsidRPr="00915A77" w:rsidRDefault="00915A77" w:rsidP="00915A77">
      <w:pPr>
        <w:spacing w:line="280" w:lineRule="atLeast"/>
        <w:ind w:firstLine="6780"/>
        <w:rPr>
          <w:rFonts w:ascii="Times New Roman" w:hAnsi="Times New Roman"/>
          <w:color w:val="000000"/>
          <w:szCs w:val="24"/>
        </w:rPr>
      </w:pPr>
      <w:r w:rsidRPr="00915A77">
        <w:rPr>
          <w:rFonts w:ascii="Times New Roman" w:hAnsi="Times New Roman"/>
          <w:color w:val="000000"/>
          <w:szCs w:val="24"/>
        </w:rPr>
        <w:t>30,000.00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(4)</w:t>
      </w:r>
    </w:p>
    <w:p w:rsidR="00915A77" w:rsidRPr="00915A77" w:rsidRDefault="00915A77" w:rsidP="00915A77">
      <w:pPr>
        <w:spacing w:line="280" w:lineRule="atLeast"/>
        <w:ind w:firstLine="1260"/>
        <w:rPr>
          <w:rFonts w:ascii="Times New Roman" w:hAnsi="Times New Roman"/>
          <w:color w:val="000000"/>
          <w:szCs w:val="24"/>
        </w:rPr>
      </w:pPr>
      <w:r w:rsidRPr="00915A77">
        <w:rPr>
          <w:rFonts w:ascii="Times New Roman" w:hAnsi="Times New Roman"/>
          <w:color w:val="000000"/>
          <w:szCs w:val="24"/>
        </w:rPr>
        <w:t>6,000 to 9,999</w:t>
      </w:r>
    </w:p>
    <w:p w:rsidR="00915A77" w:rsidRPr="00915A77" w:rsidRDefault="00915A77" w:rsidP="00915A77">
      <w:pPr>
        <w:spacing w:line="280" w:lineRule="atLeast"/>
        <w:ind w:firstLine="6570"/>
        <w:rPr>
          <w:rFonts w:ascii="Times New Roman" w:hAnsi="Times New Roman"/>
          <w:color w:val="000000"/>
          <w:szCs w:val="24"/>
        </w:rPr>
      </w:pPr>
      <w:r w:rsidRPr="00915A77">
        <w:rPr>
          <w:rFonts w:ascii="Times New Roman" w:hAnsi="Times New Roman"/>
          <w:color w:val="000000"/>
          <w:szCs w:val="24"/>
        </w:rPr>
        <w:lastRenderedPageBreak/>
        <w:t>$</w:t>
      </w:r>
    </w:p>
    <w:p w:rsidR="00915A77" w:rsidRPr="00915A77" w:rsidRDefault="00915A77" w:rsidP="00915A77">
      <w:pPr>
        <w:spacing w:line="280" w:lineRule="atLeast"/>
        <w:ind w:firstLine="6780"/>
        <w:rPr>
          <w:rFonts w:ascii="Times New Roman" w:hAnsi="Times New Roman"/>
          <w:color w:val="000000"/>
          <w:szCs w:val="24"/>
        </w:rPr>
      </w:pPr>
      <w:r w:rsidRPr="00915A77">
        <w:rPr>
          <w:rFonts w:ascii="Times New Roman" w:hAnsi="Times New Roman"/>
          <w:color w:val="000000"/>
          <w:szCs w:val="24"/>
        </w:rPr>
        <w:t>40,000.00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(5)</w:t>
      </w:r>
    </w:p>
    <w:p w:rsidR="00915A77" w:rsidRPr="00915A77" w:rsidRDefault="00915A77" w:rsidP="00915A77">
      <w:pPr>
        <w:spacing w:line="280" w:lineRule="atLeast"/>
        <w:ind w:firstLine="1260"/>
        <w:rPr>
          <w:rFonts w:ascii="Times New Roman" w:hAnsi="Times New Roman"/>
          <w:color w:val="000000"/>
          <w:szCs w:val="24"/>
        </w:rPr>
      </w:pPr>
      <w:r w:rsidRPr="00915A77">
        <w:rPr>
          <w:rFonts w:ascii="Times New Roman" w:hAnsi="Times New Roman"/>
          <w:color w:val="000000"/>
          <w:szCs w:val="24"/>
        </w:rPr>
        <w:t>10,000 or above</w:t>
      </w:r>
    </w:p>
    <w:p w:rsidR="00915A77" w:rsidRPr="00915A77" w:rsidRDefault="00915A77" w:rsidP="00915A77">
      <w:pPr>
        <w:spacing w:line="280" w:lineRule="atLeast"/>
        <w:ind w:firstLine="6570"/>
        <w:rPr>
          <w:rFonts w:ascii="Times New Roman" w:hAnsi="Times New Roman"/>
          <w:color w:val="000000"/>
          <w:szCs w:val="24"/>
        </w:rPr>
      </w:pPr>
      <w:r w:rsidRPr="00915A77">
        <w:rPr>
          <w:rFonts w:ascii="Times New Roman" w:hAnsi="Times New Roman"/>
          <w:color w:val="000000"/>
          <w:szCs w:val="24"/>
        </w:rPr>
        <w:t>$</w:t>
      </w:r>
    </w:p>
    <w:p w:rsidR="00915A77" w:rsidRPr="00915A77" w:rsidRDefault="00915A77" w:rsidP="00915A77">
      <w:pPr>
        <w:spacing w:line="280" w:lineRule="atLeast"/>
        <w:ind w:firstLine="6780"/>
        <w:rPr>
          <w:rFonts w:ascii="Times New Roman" w:hAnsi="Times New Roman"/>
          <w:color w:val="000000"/>
          <w:szCs w:val="24"/>
        </w:rPr>
      </w:pPr>
      <w:r w:rsidRPr="00915A77">
        <w:rPr>
          <w:rFonts w:ascii="Times New Roman" w:hAnsi="Times New Roman"/>
          <w:color w:val="000000"/>
          <w:szCs w:val="24"/>
        </w:rPr>
        <w:t>50,000.00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(3)  The commission may require a bond from clubs, with security, for the faithful performance of all contracts entered into and approved by the commission.  At the discretion of the commission, the amount of the performance bond required of a club may equal but shall not exceed the total amount of all professional boxing contracts entered into by that club.  In lieu thereof, a certified check will be acceptable.  This bond shall be in addition to the bond of between five thousand dollars and fifty thousand dollars hereinabove required.</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B.  The commission may charge the following fees for licenses:</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Wrestling and mixed technique event promoters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(2)</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Boxing promoters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$ 500.00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(3)</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Matchmakers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(4)</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Referees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(5)</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Managers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(6)</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Announcers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(7)</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Professional boxing contestants in main bouts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(8)</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Seconds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(9)</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Professional wrestling contestants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(10)</w:t>
      </w:r>
    </w:p>
    <w:p w:rsidR="00915A77" w:rsidRPr="00915A77" w:rsidRDefault="00915A77" w:rsidP="00915A77">
      <w:pPr>
        <w:spacing w:line="280" w:lineRule="atLeast"/>
        <w:ind w:firstLine="1440"/>
        <w:rPr>
          <w:rFonts w:ascii="Times New Roman" w:hAnsi="Times New Roman"/>
          <w:color w:val="000000"/>
          <w:szCs w:val="24"/>
        </w:rPr>
      </w:pPr>
      <w:r w:rsidRPr="00915A77">
        <w:rPr>
          <w:rFonts w:ascii="Times New Roman" w:hAnsi="Times New Roman"/>
          <w:color w:val="000000"/>
          <w:szCs w:val="24"/>
        </w:rPr>
        <w:t>Other licenses</w:t>
      </w:r>
    </w:p>
    <w:p w:rsidR="00915A77" w:rsidRPr="00915A77" w:rsidRDefault="00915A77" w:rsidP="00915A77">
      <w:pPr>
        <w:spacing w:line="280" w:lineRule="atLeast"/>
        <w:jc w:val="right"/>
        <w:rPr>
          <w:rFonts w:ascii="Times New Roman" w:hAnsi="Times New Roman"/>
          <w:color w:val="000000"/>
          <w:szCs w:val="24"/>
        </w:rPr>
      </w:pPr>
      <w:r w:rsidRPr="00915A77">
        <w:rPr>
          <w:rFonts w:ascii="Times New Roman" w:hAnsi="Times New Roman"/>
          <w:color w:val="000000"/>
          <w:szCs w:val="24"/>
        </w:rPr>
        <w:t>$   25.00</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C.  The commission may for cause, and after a hearing, revoke or suspend any license issued under the provisions of this Chapter, or may fine the holder of such license the sum of not more than one thousand dollars, or both, for any of the following reasons:</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lastRenderedPageBreak/>
        <w:t>(1)  Violation of any provision of this Chapter;</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(2)  Violation of any of the rules or regulations of the commission;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(3)  Finding that the licensee has committed an act detrimental to the interests of boxing, mixed technique event, or wrestling generally or to the public interest, convenience, or necessity;</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(4)  Finding that the licensee has been guilty of or attempted any fraud or misrepresentation in connection with boxing, mixed technique event, or wrestling; or</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(5)  Finding that a licensee is under suspension or has had his boxing, mixed technique event, or wrestling license revoked in another jurisdiction.</w:t>
      </w:r>
    </w:p>
    <w:p w:rsidR="00915A77" w:rsidRPr="00915A77" w:rsidRDefault="00915A77" w:rsidP="00915A77">
      <w:pPr>
        <w:spacing w:line="280" w:lineRule="atLeast"/>
        <w:ind w:firstLine="720"/>
        <w:rPr>
          <w:rFonts w:ascii="Times New Roman" w:hAnsi="Times New Roman"/>
          <w:color w:val="000000"/>
          <w:szCs w:val="24"/>
        </w:rPr>
      </w:pPr>
      <w:proofErr w:type="gramStart"/>
      <w:r w:rsidRPr="00915A77">
        <w:rPr>
          <w:rFonts w:ascii="Times New Roman" w:hAnsi="Times New Roman"/>
          <w:color w:val="000000"/>
          <w:szCs w:val="24"/>
        </w:rPr>
        <w:t>Acts 1974, No. 553, §1.</w:t>
      </w:r>
      <w:proofErr w:type="gramEnd"/>
      <w:r w:rsidRPr="00915A77">
        <w:rPr>
          <w:rFonts w:ascii="Times New Roman" w:hAnsi="Times New Roman"/>
          <w:color w:val="000000"/>
          <w:szCs w:val="24"/>
        </w:rPr>
        <w:t xml:space="preserve">  Amended by Acts 1981, No. 747, §1; Acts 1988, No. 576, §1, eff. Sept. 1, 1988; Acts 1990, No. 640, §1; Acts 1993, No. 890, §1; Acts 2007, No. 90, §1.</w:t>
      </w:r>
    </w:p>
    <w:p w:rsidR="00915A77" w:rsidRDefault="00915A77">
      <w:pPr>
        <w:rPr>
          <w:rFonts w:ascii="Times New Roman" w:hAnsi="Times New Roman"/>
        </w:rPr>
      </w:pPr>
    </w:p>
    <w:p w:rsidR="00915A77" w:rsidRDefault="00915A77">
      <w:pPr>
        <w:rPr>
          <w:rFonts w:ascii="Times New Roman" w:hAnsi="Times New Roman"/>
        </w:rPr>
      </w:pPr>
    </w:p>
    <w:p w:rsidR="00915A77" w:rsidRDefault="00915A77" w:rsidP="00915A77">
      <w:pPr>
        <w:pStyle w:val="Heading3"/>
        <w:jc w:val="center"/>
        <w:rPr>
          <w:rFonts w:ascii="Arial" w:hAnsi="Arial" w:cs="Arial"/>
        </w:rPr>
      </w:pPr>
      <w:r>
        <w:rPr>
          <w:rFonts w:ascii="Arial" w:hAnsi="Arial" w:cs="Arial"/>
        </w:rPr>
        <w:t>RS 4:81.1</w:t>
      </w:r>
    </w:p>
    <w:p w:rsidR="00915A77" w:rsidRPr="00915A77" w:rsidRDefault="00915A77" w:rsidP="00915A77">
      <w:pPr>
        <w:spacing w:line="300" w:lineRule="atLeast"/>
        <w:ind w:hanging="720"/>
        <w:rPr>
          <w:rFonts w:ascii="Times New Roman" w:hAnsi="Times New Roman"/>
          <w:color w:val="000000"/>
          <w:sz w:val="26"/>
          <w:szCs w:val="26"/>
        </w:rPr>
      </w:pPr>
      <w:r w:rsidRPr="00915A77">
        <w:rPr>
          <w:rFonts w:ascii="Times New Roman" w:hAnsi="Times New Roman"/>
          <w:color w:val="000000"/>
          <w:sz w:val="26"/>
          <w:szCs w:val="26"/>
        </w:rPr>
        <w:t>§81.1.  Tough-man contest; prohibition</w:t>
      </w:r>
    </w:p>
    <w:p w:rsidR="00915A77" w:rsidRPr="00915A77" w:rsidRDefault="00915A77" w:rsidP="00915A77">
      <w:pPr>
        <w:spacing w:line="300" w:lineRule="atLeast"/>
        <w:ind w:firstLine="720"/>
        <w:rPr>
          <w:rFonts w:ascii="Times New Roman" w:hAnsi="Times New Roman"/>
          <w:color w:val="000000"/>
          <w:sz w:val="26"/>
          <w:szCs w:val="26"/>
        </w:rPr>
      </w:pPr>
      <w:r w:rsidRPr="00915A77">
        <w:rPr>
          <w:rFonts w:ascii="Times New Roman" w:hAnsi="Times New Roman"/>
          <w:color w:val="000000"/>
          <w:sz w:val="26"/>
          <w:szCs w:val="26"/>
        </w:rPr>
        <w:t xml:space="preserve">A.  For the purposes of this Chapter, "tough-man contest" shall mean any boxing match, wrestling event, or competition, or combination thereof, between two or more persons, whether professional or amateur, who use their hands, with or without gloves, or their feet, or both, in any manner unauthorized by the State Boxing and Wrestling Commission, and compete for money, financial prize, or any item of pecuniary or </w:t>
      </w:r>
      <w:proofErr w:type="spellStart"/>
      <w:r w:rsidRPr="00915A77">
        <w:rPr>
          <w:rFonts w:ascii="Times New Roman" w:hAnsi="Times New Roman"/>
          <w:color w:val="000000"/>
          <w:sz w:val="26"/>
          <w:szCs w:val="26"/>
        </w:rPr>
        <w:t>nonpecuniary</w:t>
      </w:r>
      <w:proofErr w:type="spellEnd"/>
      <w:r w:rsidRPr="00915A77">
        <w:rPr>
          <w:rFonts w:ascii="Times New Roman" w:hAnsi="Times New Roman"/>
          <w:color w:val="000000"/>
          <w:sz w:val="26"/>
          <w:szCs w:val="26"/>
        </w:rPr>
        <w:t xml:space="preserve"> value or compete at an event where a fee is charged whereby either participant may obtain pecuniary gain.  The term "tough-man contest" shall not include, nor shall the provisions of this Section apply to any contest, competition, or exhibition of any of the recognized martial arts including karate, judo, kung fu, tae </w:t>
      </w:r>
      <w:proofErr w:type="spellStart"/>
      <w:r w:rsidRPr="00915A77">
        <w:rPr>
          <w:rFonts w:ascii="Times New Roman" w:hAnsi="Times New Roman"/>
          <w:color w:val="000000"/>
          <w:sz w:val="26"/>
          <w:szCs w:val="26"/>
        </w:rPr>
        <w:t>kwan</w:t>
      </w:r>
      <w:proofErr w:type="spellEnd"/>
      <w:r w:rsidRPr="00915A77">
        <w:rPr>
          <w:rFonts w:ascii="Times New Roman" w:hAnsi="Times New Roman"/>
          <w:color w:val="000000"/>
          <w:sz w:val="26"/>
          <w:szCs w:val="26"/>
        </w:rPr>
        <w:t xml:space="preserve"> do, jujitsu, kickboxing, or any substantially similar tradition.</w:t>
      </w:r>
    </w:p>
    <w:p w:rsidR="00915A77" w:rsidRPr="00915A77" w:rsidRDefault="00915A77" w:rsidP="00915A77">
      <w:pPr>
        <w:spacing w:line="300" w:lineRule="atLeast"/>
        <w:ind w:firstLine="720"/>
        <w:rPr>
          <w:rFonts w:ascii="Times New Roman" w:hAnsi="Times New Roman"/>
          <w:color w:val="000000"/>
          <w:sz w:val="26"/>
          <w:szCs w:val="26"/>
        </w:rPr>
      </w:pPr>
      <w:r w:rsidRPr="00915A77">
        <w:rPr>
          <w:rFonts w:ascii="Times New Roman" w:hAnsi="Times New Roman"/>
          <w:color w:val="000000"/>
          <w:sz w:val="26"/>
          <w:szCs w:val="26"/>
        </w:rPr>
        <w:t>B.  No person shall conduct, promote, or in any manner participate in any tough-man contest or exhibition.  Any person violating this Section as a participant, promoter, judge, or referee shall be subject to criminal charges and penalties as provided in R.S. 14:102.11.</w:t>
      </w:r>
    </w:p>
    <w:p w:rsidR="00915A77" w:rsidRPr="00915A77" w:rsidRDefault="00915A77" w:rsidP="00915A77">
      <w:pPr>
        <w:spacing w:line="300" w:lineRule="atLeast"/>
        <w:ind w:firstLine="720"/>
        <w:rPr>
          <w:rFonts w:ascii="Times New Roman" w:hAnsi="Times New Roman"/>
          <w:color w:val="000000"/>
          <w:sz w:val="26"/>
          <w:szCs w:val="26"/>
        </w:rPr>
      </w:pPr>
      <w:r w:rsidRPr="00915A77">
        <w:rPr>
          <w:rFonts w:ascii="Times New Roman" w:hAnsi="Times New Roman"/>
          <w:color w:val="000000"/>
          <w:sz w:val="26"/>
          <w:szCs w:val="26"/>
        </w:rPr>
        <w:t>Added by Acts 1981, No. 747, §2; Acts 1995, No. 1275, §1.</w:t>
      </w:r>
    </w:p>
    <w:p w:rsidR="00915A77" w:rsidRDefault="00915A77">
      <w:pPr>
        <w:rPr>
          <w:rFonts w:ascii="Times New Roman" w:hAnsi="Times New Roman"/>
        </w:rPr>
      </w:pPr>
    </w:p>
    <w:p w:rsidR="00915A77" w:rsidRDefault="00915A77" w:rsidP="00915A77">
      <w:pPr>
        <w:pStyle w:val="Heading3"/>
        <w:jc w:val="center"/>
        <w:rPr>
          <w:rFonts w:ascii="Arial" w:hAnsi="Arial" w:cs="Arial"/>
        </w:rPr>
      </w:pPr>
      <w:r>
        <w:rPr>
          <w:rFonts w:ascii="Arial" w:hAnsi="Arial" w:cs="Arial"/>
        </w:rPr>
        <w:t>RS 4:85</w:t>
      </w:r>
    </w:p>
    <w:p w:rsidR="00915A77" w:rsidRPr="00915A77" w:rsidRDefault="00915A77" w:rsidP="00915A77">
      <w:pPr>
        <w:spacing w:line="280" w:lineRule="atLeast"/>
        <w:ind w:hanging="720"/>
        <w:rPr>
          <w:rFonts w:ascii="Times New Roman" w:hAnsi="Times New Roman"/>
          <w:color w:val="000000"/>
          <w:szCs w:val="24"/>
        </w:rPr>
      </w:pPr>
      <w:r w:rsidRPr="00915A77">
        <w:rPr>
          <w:rFonts w:ascii="Times New Roman" w:hAnsi="Times New Roman"/>
          <w:color w:val="000000"/>
          <w:szCs w:val="24"/>
        </w:rPr>
        <w:t>§85.  Definitions; construction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As used in this Chapter:</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  "Amateur" means any of the following:</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(a)  Contests or exhibitions of armed or unarmed combat or any combination thereof conducted by or participated in exclusively by any state-accredited middle school or high school, college, or university, or by any association or organization of a school, college, or university, when each participant in the contests or exhibitions is a bona fide student in the state-accredited middle school or high school, college, or university.</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lastRenderedPageBreak/>
        <w:t>(b)  Any boxing contest or exhibition if it is registered and sanctioned by United States Amateur Boxing, Inc., or Golden Gloves of America as an amateur boxing contest or exhibition.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(c)  Any contest or exhibition which specifically has been named by the commission as an amateur event.</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(2)  "Club" means any club, corporation, association, or individual under the authority of the commission.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(3)  "Commission" means the State Boxing and Wrestling Commission.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(4)  "Exhibition" means:</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(a)  As applied to boxing and mixed technique events, any event in which the participants show or display their skills without necessarily striving to win.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(b)  As applied to professional wrestling events</w:t>
      </w:r>
      <w:proofErr w:type="gramStart"/>
      <w:r w:rsidRPr="00915A77">
        <w:rPr>
          <w:rFonts w:ascii="Times New Roman" w:hAnsi="Times New Roman"/>
          <w:color w:val="000000"/>
          <w:szCs w:val="24"/>
        </w:rPr>
        <w:t>,  bouts</w:t>
      </w:r>
      <w:proofErr w:type="gramEnd"/>
      <w:r w:rsidRPr="00915A77">
        <w:rPr>
          <w:rFonts w:ascii="Times New Roman" w:hAnsi="Times New Roman"/>
          <w:color w:val="000000"/>
          <w:szCs w:val="24"/>
        </w:rPr>
        <w:t xml:space="preserve"> for entertainment purposes wherein there are no dangerous blows intended to be struck and the result of each bout is predetermined.</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 xml:space="preserve">(5)  "Mixed technique event" means contests in which contestants attack and defend with wrestling or grappling and with the fists and other parts of the human body, including but not limited to the foot, knee, leg, elbow, or head, wherein dangerous blows are intended to be struck with full contact.  The term "mixed technique event" shall not include nor shall the provisions of this Chapter apply to any contest, competition, or exhibition of any of the recognized martial arts, including but not limited to karate, judo, kung fu, tae </w:t>
      </w:r>
      <w:proofErr w:type="spellStart"/>
      <w:r w:rsidRPr="00915A77">
        <w:rPr>
          <w:rFonts w:ascii="Times New Roman" w:hAnsi="Times New Roman"/>
          <w:color w:val="000000"/>
          <w:szCs w:val="24"/>
        </w:rPr>
        <w:t>kwan</w:t>
      </w:r>
      <w:proofErr w:type="spellEnd"/>
      <w:r w:rsidRPr="00915A77">
        <w:rPr>
          <w:rFonts w:ascii="Times New Roman" w:hAnsi="Times New Roman"/>
          <w:color w:val="000000"/>
          <w:szCs w:val="24"/>
        </w:rPr>
        <w:t xml:space="preserve"> do, jujitsu, kickboxing, tang </w:t>
      </w:r>
      <w:proofErr w:type="spellStart"/>
      <w:r w:rsidRPr="00915A77">
        <w:rPr>
          <w:rFonts w:ascii="Times New Roman" w:hAnsi="Times New Roman"/>
          <w:color w:val="000000"/>
          <w:szCs w:val="24"/>
        </w:rPr>
        <w:t>soo</w:t>
      </w:r>
      <w:proofErr w:type="spellEnd"/>
      <w:r w:rsidRPr="00915A77">
        <w:rPr>
          <w:rFonts w:ascii="Times New Roman" w:hAnsi="Times New Roman"/>
          <w:color w:val="000000"/>
          <w:szCs w:val="24"/>
        </w:rPr>
        <w:t xml:space="preserve"> do, or any substantively similar tradition.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(6)  "Professional boxer</w:t>
      </w:r>
      <w:proofErr w:type="gramStart"/>
      <w:r w:rsidRPr="00915A77">
        <w:rPr>
          <w:rFonts w:ascii="Times New Roman" w:hAnsi="Times New Roman"/>
          <w:color w:val="000000"/>
          <w:szCs w:val="24"/>
        </w:rPr>
        <w:t>"  means</w:t>
      </w:r>
      <w:proofErr w:type="gramEnd"/>
      <w:r w:rsidRPr="00915A77">
        <w:rPr>
          <w:rFonts w:ascii="Times New Roman" w:hAnsi="Times New Roman"/>
          <w:color w:val="000000"/>
          <w:szCs w:val="24"/>
        </w:rPr>
        <w:t xml:space="preserve"> any person who competes for a money prize or teaches, pursues, or assists in the practice of boxing or wrestling as a means of obtaining a livelihood or pecuniary gain.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(7)  "Professional wrestler" means any person who does not qualify as an "amateur" and who participates in staged matches wherein no dangerous blow is intended to be struck and where there is a predetermined winner, whether or not the participant competes for a money prize or pecuniary gain.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(8)  "Professional wrestling event" means any event which does not qualify as either a mixed technique event or amateur or boxing contest and which features in any way a professional wrestler and which qualifies as an exhibition under Subparagraph (4)(b) of this Section.</w:t>
      </w:r>
    </w:p>
    <w:p w:rsidR="00915A77" w:rsidRPr="00915A77" w:rsidRDefault="00915A77" w:rsidP="00915A77">
      <w:pPr>
        <w:spacing w:line="280" w:lineRule="atLeast"/>
        <w:ind w:firstLine="720"/>
        <w:rPr>
          <w:rFonts w:ascii="Times New Roman" w:hAnsi="Times New Roman"/>
          <w:color w:val="000000"/>
          <w:szCs w:val="24"/>
        </w:rPr>
      </w:pPr>
      <w:proofErr w:type="gramStart"/>
      <w:r w:rsidRPr="00915A77">
        <w:rPr>
          <w:rFonts w:ascii="Times New Roman" w:hAnsi="Times New Roman"/>
          <w:color w:val="000000"/>
          <w:szCs w:val="24"/>
        </w:rPr>
        <w:t>Acts 1974, No. 553, §1; Acts 2007, No. 90, §1.</w:t>
      </w:r>
      <w:proofErr w:type="gramEnd"/>
    </w:p>
    <w:p w:rsidR="00915A77" w:rsidRDefault="00915A77">
      <w:pPr>
        <w:rPr>
          <w:rFonts w:ascii="Times New Roman" w:hAnsi="Times New Roman"/>
        </w:rPr>
      </w:pPr>
    </w:p>
    <w:p w:rsidR="00915A77" w:rsidRDefault="00915A77">
      <w:pPr>
        <w:rPr>
          <w:rFonts w:ascii="Times New Roman" w:hAnsi="Times New Roman"/>
        </w:rPr>
      </w:pPr>
    </w:p>
    <w:p w:rsidR="00915A77" w:rsidRDefault="00915A77" w:rsidP="00915A77">
      <w:pPr>
        <w:pStyle w:val="Heading3"/>
        <w:jc w:val="center"/>
        <w:rPr>
          <w:rFonts w:ascii="Arial" w:hAnsi="Arial" w:cs="Arial"/>
        </w:rPr>
      </w:pPr>
      <w:r>
        <w:rPr>
          <w:rFonts w:ascii="Arial" w:hAnsi="Arial" w:cs="Arial"/>
        </w:rPr>
        <w:t>RS 14:102.11</w:t>
      </w:r>
    </w:p>
    <w:p w:rsidR="00915A77" w:rsidRPr="00915A77" w:rsidRDefault="00915A77" w:rsidP="00915A77">
      <w:pPr>
        <w:spacing w:line="300" w:lineRule="atLeast"/>
        <w:ind w:hanging="720"/>
        <w:rPr>
          <w:rFonts w:ascii="Times New Roman" w:hAnsi="Times New Roman"/>
          <w:color w:val="000000"/>
          <w:sz w:val="26"/>
          <w:szCs w:val="26"/>
        </w:rPr>
      </w:pPr>
      <w:r w:rsidRPr="00915A77">
        <w:rPr>
          <w:rFonts w:ascii="Times New Roman" w:hAnsi="Times New Roman"/>
          <w:color w:val="000000"/>
          <w:sz w:val="26"/>
          <w:szCs w:val="26"/>
        </w:rPr>
        <w:t>§102.11.  Illegal contact sports; penalty</w:t>
      </w:r>
    </w:p>
    <w:p w:rsidR="00915A77" w:rsidRPr="00915A77" w:rsidRDefault="00915A77" w:rsidP="00915A77">
      <w:pPr>
        <w:spacing w:line="300" w:lineRule="atLeast"/>
        <w:ind w:firstLine="720"/>
        <w:rPr>
          <w:rFonts w:ascii="Times New Roman" w:hAnsi="Times New Roman"/>
          <w:color w:val="000000"/>
          <w:sz w:val="26"/>
          <w:szCs w:val="26"/>
        </w:rPr>
      </w:pPr>
      <w:r w:rsidRPr="00915A77">
        <w:rPr>
          <w:rFonts w:ascii="Times New Roman" w:hAnsi="Times New Roman"/>
          <w:color w:val="000000"/>
          <w:sz w:val="26"/>
          <w:szCs w:val="26"/>
        </w:rPr>
        <w:t>A.  Any person who intentionally commits any of the following shall be guilty of illegal contact sports:</w:t>
      </w:r>
    </w:p>
    <w:p w:rsidR="00915A77" w:rsidRPr="00915A77" w:rsidRDefault="00915A77" w:rsidP="00915A77">
      <w:pPr>
        <w:spacing w:line="300" w:lineRule="atLeast"/>
        <w:ind w:firstLine="720"/>
        <w:rPr>
          <w:rFonts w:ascii="Times New Roman" w:hAnsi="Times New Roman"/>
          <w:color w:val="000000"/>
          <w:sz w:val="26"/>
          <w:szCs w:val="26"/>
        </w:rPr>
      </w:pPr>
      <w:r w:rsidRPr="00915A77">
        <w:rPr>
          <w:rFonts w:ascii="Times New Roman" w:hAnsi="Times New Roman"/>
          <w:color w:val="000000"/>
          <w:sz w:val="26"/>
          <w:szCs w:val="26"/>
        </w:rPr>
        <w:t>(1)  Promotes, engages or participates in, judges, or referees a tough-man competition or is employed by anyone who conducts a tough-man competition.</w:t>
      </w:r>
    </w:p>
    <w:p w:rsidR="00915A77" w:rsidRPr="00915A77" w:rsidRDefault="00915A77" w:rsidP="00915A77">
      <w:pPr>
        <w:spacing w:line="300" w:lineRule="atLeast"/>
        <w:ind w:firstLine="720"/>
        <w:rPr>
          <w:rFonts w:ascii="Times New Roman" w:hAnsi="Times New Roman"/>
          <w:color w:val="000000"/>
          <w:sz w:val="26"/>
          <w:szCs w:val="26"/>
        </w:rPr>
      </w:pPr>
      <w:r w:rsidRPr="00915A77">
        <w:rPr>
          <w:rFonts w:ascii="Times New Roman" w:hAnsi="Times New Roman"/>
          <w:color w:val="000000"/>
          <w:sz w:val="26"/>
          <w:szCs w:val="26"/>
        </w:rPr>
        <w:t>(2)  Receives money for the admission of another person to a place which holds or has held tough-man competitions.</w:t>
      </w:r>
    </w:p>
    <w:p w:rsidR="00915A77" w:rsidRPr="00915A77" w:rsidRDefault="00915A77" w:rsidP="00915A77">
      <w:pPr>
        <w:spacing w:line="300" w:lineRule="atLeast"/>
        <w:ind w:firstLine="720"/>
        <w:rPr>
          <w:rFonts w:ascii="Times New Roman" w:hAnsi="Times New Roman"/>
          <w:color w:val="000000"/>
          <w:sz w:val="26"/>
          <w:szCs w:val="26"/>
        </w:rPr>
      </w:pPr>
      <w:r w:rsidRPr="00915A77">
        <w:rPr>
          <w:rFonts w:ascii="Times New Roman" w:hAnsi="Times New Roman"/>
          <w:color w:val="000000"/>
          <w:sz w:val="26"/>
          <w:szCs w:val="26"/>
        </w:rPr>
        <w:lastRenderedPageBreak/>
        <w:t xml:space="preserve">B.  For the purposes of this Section, a "tough-man contest or competition" means any boxing match, wrestling event, or contest or competition, or combination thereof, between two or more persons, whether professional or amateur, who use their hands, with or without gloves, or their feet, or both, in any manner unauthorized by the State Boxing and Wrestling Commission, and compete for money, financial prize, or any item of pecuniary or </w:t>
      </w:r>
      <w:proofErr w:type="spellStart"/>
      <w:r w:rsidRPr="00915A77">
        <w:rPr>
          <w:rFonts w:ascii="Times New Roman" w:hAnsi="Times New Roman"/>
          <w:color w:val="000000"/>
          <w:sz w:val="26"/>
          <w:szCs w:val="26"/>
        </w:rPr>
        <w:t>nonpecuniary</w:t>
      </w:r>
      <w:proofErr w:type="spellEnd"/>
      <w:r w:rsidRPr="00915A77">
        <w:rPr>
          <w:rFonts w:ascii="Times New Roman" w:hAnsi="Times New Roman"/>
          <w:color w:val="000000"/>
          <w:sz w:val="26"/>
          <w:szCs w:val="26"/>
        </w:rPr>
        <w:t xml:space="preserve"> value or compete at an event where a fee is charged whereby either participant may obtain pecuniary gain.  "Tough-man contest or competition" shall not include, nor shall the provisions of this Section apply to any contest, competition, or exhibition of any of the recognized martial arts including karate, judo, kung fu, tae </w:t>
      </w:r>
      <w:proofErr w:type="spellStart"/>
      <w:r w:rsidRPr="00915A77">
        <w:rPr>
          <w:rFonts w:ascii="Times New Roman" w:hAnsi="Times New Roman"/>
          <w:color w:val="000000"/>
          <w:sz w:val="26"/>
          <w:szCs w:val="26"/>
        </w:rPr>
        <w:t>kwan</w:t>
      </w:r>
      <w:proofErr w:type="spellEnd"/>
      <w:r w:rsidRPr="00915A77">
        <w:rPr>
          <w:rFonts w:ascii="Times New Roman" w:hAnsi="Times New Roman"/>
          <w:color w:val="000000"/>
          <w:sz w:val="26"/>
          <w:szCs w:val="26"/>
        </w:rPr>
        <w:t xml:space="preserve"> do, jujitsu, kickboxing, or any substantially similar tradition.</w:t>
      </w:r>
    </w:p>
    <w:p w:rsidR="00915A77" w:rsidRPr="00915A77" w:rsidRDefault="00915A77" w:rsidP="00915A77">
      <w:pPr>
        <w:spacing w:line="300" w:lineRule="atLeast"/>
        <w:ind w:firstLine="720"/>
        <w:rPr>
          <w:rFonts w:ascii="Times New Roman" w:hAnsi="Times New Roman"/>
          <w:color w:val="000000"/>
          <w:sz w:val="26"/>
          <w:szCs w:val="26"/>
        </w:rPr>
      </w:pPr>
      <w:r w:rsidRPr="00915A77">
        <w:rPr>
          <w:rFonts w:ascii="Times New Roman" w:hAnsi="Times New Roman"/>
          <w:color w:val="000000"/>
          <w:sz w:val="26"/>
          <w:szCs w:val="26"/>
        </w:rPr>
        <w:t>C.  Whoever commits the crime of illegal contact sports shall be fined not more than five hundred dollars or imprisoned, with or without hard labor, for not more than one year, or both.</w:t>
      </w:r>
    </w:p>
    <w:p w:rsidR="00915A77" w:rsidRPr="00915A77" w:rsidRDefault="00915A77" w:rsidP="00915A77">
      <w:pPr>
        <w:spacing w:line="300" w:lineRule="atLeast"/>
        <w:ind w:firstLine="720"/>
        <w:rPr>
          <w:rFonts w:ascii="Times New Roman" w:hAnsi="Times New Roman"/>
          <w:color w:val="000000"/>
          <w:sz w:val="26"/>
          <w:szCs w:val="26"/>
        </w:rPr>
      </w:pPr>
      <w:proofErr w:type="gramStart"/>
      <w:r w:rsidRPr="00915A77">
        <w:rPr>
          <w:rFonts w:ascii="Times New Roman" w:hAnsi="Times New Roman"/>
          <w:color w:val="000000"/>
          <w:sz w:val="26"/>
          <w:szCs w:val="26"/>
        </w:rPr>
        <w:t>Acts 1995, No. 1275, §2.</w:t>
      </w:r>
      <w:proofErr w:type="gramEnd"/>
    </w:p>
    <w:p w:rsidR="00915A77" w:rsidRDefault="00915A77">
      <w:pPr>
        <w:rPr>
          <w:rFonts w:ascii="Times New Roman" w:hAnsi="Times New Roman"/>
        </w:rPr>
      </w:pPr>
    </w:p>
    <w:p w:rsidR="00915A77" w:rsidRDefault="00915A77" w:rsidP="00915A77">
      <w:pPr>
        <w:pStyle w:val="Heading3"/>
        <w:jc w:val="center"/>
        <w:rPr>
          <w:rFonts w:ascii="Arial" w:hAnsi="Arial" w:cs="Arial"/>
        </w:rPr>
      </w:pPr>
      <w:r>
        <w:rPr>
          <w:rFonts w:ascii="Arial" w:hAnsi="Arial" w:cs="Arial"/>
        </w:rPr>
        <w:t>RS 36:4.1</w:t>
      </w:r>
    </w:p>
    <w:p w:rsidR="00915A77" w:rsidRPr="00915A77" w:rsidRDefault="00915A77" w:rsidP="00915A77">
      <w:pPr>
        <w:spacing w:line="280" w:lineRule="atLeast"/>
        <w:ind w:hanging="720"/>
        <w:rPr>
          <w:rFonts w:ascii="Times New Roman" w:hAnsi="Times New Roman"/>
          <w:color w:val="000000"/>
          <w:szCs w:val="24"/>
        </w:rPr>
      </w:pPr>
      <w:r w:rsidRPr="00915A77">
        <w:rPr>
          <w:rFonts w:ascii="Times New Roman" w:hAnsi="Times New Roman"/>
          <w:color w:val="000000"/>
          <w:szCs w:val="24"/>
        </w:rPr>
        <w:t>§4.1.  Agencies transferred from the Department of Economic Development to the office of the governor; agencies placed within the office of the governor</w:t>
      </w:r>
    </w:p>
    <w:p w:rsidR="00915A77" w:rsidRPr="00915A77" w:rsidRDefault="00915A77" w:rsidP="00915A77">
      <w:pPr>
        <w:spacing w:line="280" w:lineRule="atLeast"/>
        <w:ind w:firstLine="720"/>
        <w:rPr>
          <w:rFonts w:ascii="Times New Roman" w:hAnsi="Times New Roman"/>
          <w:color w:val="000000"/>
          <w:szCs w:val="24"/>
        </w:rPr>
      </w:pPr>
      <w:proofErr w:type="gramStart"/>
      <w:r w:rsidRPr="00915A77">
        <w:rPr>
          <w:rFonts w:ascii="Times New Roman" w:hAnsi="Times New Roman"/>
          <w:color w:val="000000"/>
          <w:szCs w:val="24"/>
        </w:rPr>
        <w:t>A.(</w:t>
      </w:r>
      <w:proofErr w:type="gramEnd"/>
      <w:r w:rsidRPr="00915A77">
        <w:rPr>
          <w:rFonts w:ascii="Times New Roman" w:hAnsi="Times New Roman"/>
          <w:color w:val="000000"/>
          <w:szCs w:val="24"/>
        </w:rPr>
        <w:t>1)  With regard to the agencies transferred or placed pursuant to the provisions of this Section, the following terms used in R.S. 36:801, 801.1, 802, 803, and 921 shall have the following meanings when used in those Sections:</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(a)  "Department" means the office of the governor.</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(b)  "Secretary" means the governor through the commissioner of administration.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(c)  "Undersecretary" means the commissioner of administration.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(2)  The term "assistant secretary" shall have no application to the transfer or placement of agencies in the office of the governor provided in this Section and shall not be deemed to grant any power or authority to any officer or employee of the office of the governor with respect to any agency transferred to or placed within the office of the governor by this Section.</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B.  Repealed by Acts 2009, No. 409, §7, eff. July 1, 2009.</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C.(1)  The Office of Financial Institutions is hereby placed within the office of the governor and shall perform and exercise its powers, duties, functions, and responsibilities as provided in R.S. 36:801.1.</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(2)  The Office of Financial Institutions shall be a separate budget unit within the office of the governor.</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D.  The following agencies, as defined in R.S. 36:3, are hereby transferred to and shall be placed within the office of the governor and shall perform and exercise their powers, duties, functions, and responsibilities as provided in R.S. 36:803:</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  The Louisiana Cemetery Board (R.S. 8:61 through 78).</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(2)  State Board of Certified Public Accountants of Louisiana (R.S. 37:71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(3)  State Board of Architectural Examiners (R.S. 37:141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(4)  Louisiana Real Estate Commission (R.S. 37:1430 et seq.).</w:t>
      </w:r>
    </w:p>
    <w:p w:rsidR="00915A77" w:rsidRPr="00915A77" w:rsidRDefault="00915A77" w:rsidP="00915A77">
      <w:pPr>
        <w:spacing w:line="280" w:lineRule="atLeast"/>
        <w:ind w:firstLine="720"/>
        <w:rPr>
          <w:rFonts w:ascii="Times New Roman" w:hAnsi="Times New Roman"/>
          <w:color w:val="000000"/>
          <w:szCs w:val="24"/>
        </w:rPr>
      </w:pPr>
      <w:proofErr w:type="gramStart"/>
      <w:r w:rsidRPr="00915A77">
        <w:rPr>
          <w:rFonts w:ascii="Times New Roman" w:hAnsi="Times New Roman"/>
          <w:color w:val="000000"/>
          <w:szCs w:val="24"/>
        </w:rPr>
        <w:t>(5)  Louisiana State Board of Home Inspectors (R.S. 37:1471 et seq.).</w:t>
      </w:r>
      <w:proofErr w:type="gramEnd"/>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(6)  State Licensing Board for Contractors (R.S. 37:2150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lastRenderedPageBreak/>
        <w:t>(7)  Repealed by Acts 2008, No. 815, §5.</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(8)  Board of Examiners of Certified Shorthand Reporters (R.S. 37:2551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(9)  Louisiana Auctioneers Licensing Board (R.S. 37:3101 through 3105 and R.S. 37:3111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(10)  State Board of Examiners of Interior Designers (R.S. 37:3171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(11)  Louisiana Real Estate Appraisers Board (R.S. 37:3391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(12)  The State Boxing and Wrestling Commission (R.S. 4:61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(13)  Louisiana Motor Vehicle Commission (R.S. 32:1251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(14)  Louisiana Recreational and Used Motor Vehicle Commission (R.S. 32:751 et seq. and R.S. 32:771 et seq.).</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(15)  Polygraph Board (R.S. 37:2831 et seq.), notwithstanding the provisions of Chapter 36-A of Title 37 to the contrary.</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(16)  Repealed by Acts 2008, No. 831, §6.</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(17)  The Small Business Entrepreneurship Commission (R.S. 51:943).</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(18)  The Louisiana State Board of Cosmetology (R.S. 37:561 through 607).</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E.  The Department of Occupational Standards (R.S. 37:1-15) is hereby abolished and its powers, duties, functions, and responsibilities are transferred to the governor, through the commissioner of administration, in the office of the governor and hereafter shall be exercised and performed as provided in Part IV of Chapter 22 of this Title.</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F.  Not later than the first day of January in each year, each entity transferred or placed in the office of the governor pursuant to this Section shall submit a copy of its proposed budget for the ensuing fiscal year to each chairman of the House Committee on Commerce and the Senate Committee on Commerce, Consumer Protection, and International Affairs, pursuant to R.S. 39:1335.</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G.  The Louisiana State Racing Commission (R.S. 4:141 et seq.) is hereby placed within the office of the governor and shall perform and exercise its powers, duties, functions, and responsibilities as provided in R.S. 36:801.1.</w:t>
      </w:r>
    </w:p>
    <w:p w:rsidR="00915A77" w:rsidRPr="00915A77" w:rsidRDefault="00915A77" w:rsidP="00915A77">
      <w:pPr>
        <w:spacing w:line="280" w:lineRule="atLeast"/>
        <w:ind w:firstLine="720"/>
        <w:rPr>
          <w:rFonts w:ascii="Times New Roman" w:hAnsi="Times New Roman"/>
          <w:color w:val="000000"/>
          <w:szCs w:val="24"/>
        </w:rPr>
      </w:pPr>
      <w:r w:rsidRPr="00915A77">
        <w:rPr>
          <w:rFonts w:ascii="Times New Roman" w:hAnsi="Times New Roman"/>
          <w:color w:val="000000"/>
          <w:szCs w:val="24"/>
        </w:rPr>
        <w:t>Acts 2001, No. 8, §11, eff. July 1, 2001; Acts 2001, No. 718, §1; Acts 2001, No. 9, §4, eff. July 1, 2001; Acts 2001, No. 907, §1, eff. June 26, 2001; Acts 2003, No. 183, §2; Acts 2003, No. 553, §1; Acts 2003, No. 850, §§1 and 4; Acts 2004, No. 557, §2; Acts 2008, No. 815, §5; Acts 2008, No. 831, §6; Acts 2009, No. 409, §§3, 7, eff. July 1, 2009.</w:t>
      </w:r>
    </w:p>
    <w:p w:rsidR="00915A77" w:rsidRPr="00915A77" w:rsidRDefault="00915A77" w:rsidP="00915A77">
      <w:pPr>
        <w:spacing w:line="280" w:lineRule="atLeast"/>
        <w:rPr>
          <w:rFonts w:ascii="Times New Roman" w:hAnsi="Times New Roman"/>
          <w:color w:val="000000"/>
          <w:szCs w:val="24"/>
        </w:rPr>
      </w:pPr>
      <w:r w:rsidRPr="00915A77">
        <w:rPr>
          <w:rFonts w:ascii="Times New Roman" w:hAnsi="Times New Roman"/>
          <w:color w:val="000000"/>
          <w:szCs w:val="24"/>
        </w:rPr>
        <w:t>NOTE:  Acts 2001, No. 833, §1, changes the name of the La. Real Estate Appraisers Board and otherwise provides relative to the board (R.S. 36:4.1(D</w:t>
      </w:r>
      <w:proofErr w:type="gramStart"/>
      <w:r w:rsidRPr="00915A77">
        <w:rPr>
          <w:rFonts w:ascii="Times New Roman" w:hAnsi="Times New Roman"/>
          <w:color w:val="000000"/>
          <w:szCs w:val="24"/>
        </w:rPr>
        <w:t>)(</w:t>
      </w:r>
      <w:proofErr w:type="gramEnd"/>
      <w:r w:rsidRPr="00915A77">
        <w:rPr>
          <w:rFonts w:ascii="Times New Roman" w:hAnsi="Times New Roman"/>
          <w:color w:val="000000"/>
          <w:szCs w:val="24"/>
        </w:rPr>
        <w:t>11)).</w:t>
      </w:r>
    </w:p>
    <w:p w:rsidR="00915A77" w:rsidRPr="00EE16E9" w:rsidRDefault="00915A77">
      <w:pPr>
        <w:rPr>
          <w:rFonts w:ascii="Times New Roman" w:hAnsi="Times New Roman"/>
        </w:rPr>
      </w:pPr>
    </w:p>
    <w:sectPr w:rsidR="00915A77" w:rsidRPr="00EE16E9" w:rsidSect="004D56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915A77"/>
    <w:rsid w:val="004D5637"/>
    <w:rsid w:val="00915A77"/>
    <w:rsid w:val="00BC5EF5"/>
    <w:rsid w:val="00C37BC0"/>
    <w:rsid w:val="00EE16E9"/>
    <w:rsid w:val="00F24A6A"/>
    <w:rsid w:val="00F96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37"/>
    <w:rPr>
      <w:rFonts w:ascii="CG Times" w:hAnsi="CG Times"/>
      <w:sz w:val="24"/>
    </w:rPr>
  </w:style>
  <w:style w:type="paragraph" w:styleId="Heading3">
    <w:name w:val="heading 3"/>
    <w:basedOn w:val="Normal"/>
    <w:link w:val="Heading3Char"/>
    <w:uiPriority w:val="9"/>
    <w:qFormat/>
    <w:rsid w:val="00915A7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A77"/>
    <w:rPr>
      <w:b/>
      <w:bCs/>
      <w:sz w:val="27"/>
      <w:szCs w:val="27"/>
    </w:rPr>
  </w:style>
  <w:style w:type="paragraph" w:customStyle="1" w:styleId="00001">
    <w:name w:val="00001"/>
    <w:basedOn w:val="Normal"/>
    <w:rsid w:val="00915A77"/>
    <w:pPr>
      <w:spacing w:line="280" w:lineRule="atLeast"/>
    </w:pPr>
    <w:rPr>
      <w:rFonts w:ascii="Times New Roman" w:hAnsi="Times New Roman"/>
      <w:szCs w:val="24"/>
    </w:rPr>
  </w:style>
  <w:style w:type="paragraph" w:customStyle="1" w:styleId="00002">
    <w:name w:val="00002"/>
    <w:basedOn w:val="Normal"/>
    <w:rsid w:val="00915A77"/>
    <w:pPr>
      <w:spacing w:line="280" w:lineRule="atLeast"/>
      <w:ind w:hanging="720"/>
    </w:pPr>
    <w:rPr>
      <w:rFonts w:ascii="Times New Roman" w:hAnsi="Times New Roman"/>
      <w:szCs w:val="24"/>
    </w:rPr>
  </w:style>
  <w:style w:type="paragraph" w:customStyle="1" w:styleId="00003">
    <w:name w:val="00003"/>
    <w:basedOn w:val="Normal"/>
    <w:rsid w:val="00915A77"/>
    <w:pPr>
      <w:spacing w:line="280" w:lineRule="atLeast"/>
      <w:ind w:firstLine="720"/>
    </w:pPr>
    <w:rPr>
      <w:rFonts w:ascii="Times New Roman" w:hAnsi="Times New Roman"/>
      <w:szCs w:val="24"/>
    </w:rPr>
  </w:style>
  <w:style w:type="paragraph" w:customStyle="1" w:styleId="00004">
    <w:name w:val="00004"/>
    <w:basedOn w:val="Normal"/>
    <w:rsid w:val="00915A77"/>
    <w:pPr>
      <w:spacing w:line="280" w:lineRule="atLeast"/>
    </w:pPr>
    <w:rPr>
      <w:rFonts w:ascii="Times New Roman" w:hAnsi="Times New Roman"/>
      <w:szCs w:val="24"/>
    </w:rPr>
  </w:style>
  <w:style w:type="paragraph" w:customStyle="1" w:styleId="00005">
    <w:name w:val="00005"/>
    <w:basedOn w:val="Normal"/>
    <w:rsid w:val="00915A77"/>
    <w:pPr>
      <w:spacing w:line="280" w:lineRule="atLeast"/>
      <w:ind w:firstLine="6861"/>
    </w:pPr>
    <w:rPr>
      <w:rFonts w:ascii="Times New Roman" w:hAnsi="Times New Roman"/>
      <w:szCs w:val="24"/>
    </w:rPr>
  </w:style>
  <w:style w:type="paragraph" w:customStyle="1" w:styleId="00006">
    <w:name w:val="00006"/>
    <w:basedOn w:val="Normal"/>
    <w:rsid w:val="00915A77"/>
    <w:pPr>
      <w:spacing w:line="280" w:lineRule="atLeast"/>
      <w:ind w:firstLine="720"/>
    </w:pPr>
    <w:rPr>
      <w:rFonts w:ascii="Times New Roman" w:hAnsi="Times New Roman"/>
      <w:szCs w:val="24"/>
    </w:rPr>
  </w:style>
  <w:style w:type="paragraph" w:customStyle="1" w:styleId="00007">
    <w:name w:val="00007"/>
    <w:basedOn w:val="Normal"/>
    <w:rsid w:val="00915A77"/>
    <w:pPr>
      <w:spacing w:line="280" w:lineRule="atLeast"/>
      <w:ind w:firstLine="1260"/>
    </w:pPr>
    <w:rPr>
      <w:rFonts w:ascii="Times New Roman" w:hAnsi="Times New Roman"/>
      <w:szCs w:val="24"/>
    </w:rPr>
  </w:style>
  <w:style w:type="paragraph" w:customStyle="1" w:styleId="00008">
    <w:name w:val="00008"/>
    <w:basedOn w:val="Normal"/>
    <w:rsid w:val="00915A77"/>
    <w:pPr>
      <w:spacing w:line="280" w:lineRule="atLeast"/>
      <w:ind w:firstLine="6570"/>
    </w:pPr>
    <w:rPr>
      <w:rFonts w:ascii="Times New Roman" w:hAnsi="Times New Roman"/>
      <w:szCs w:val="24"/>
    </w:rPr>
  </w:style>
  <w:style w:type="paragraph" w:customStyle="1" w:styleId="00009">
    <w:name w:val="00009"/>
    <w:basedOn w:val="Normal"/>
    <w:rsid w:val="00915A77"/>
    <w:pPr>
      <w:spacing w:line="280" w:lineRule="atLeast"/>
      <w:ind w:firstLine="6900"/>
    </w:pPr>
    <w:rPr>
      <w:rFonts w:ascii="Times New Roman" w:hAnsi="Times New Roman"/>
      <w:szCs w:val="24"/>
    </w:rPr>
  </w:style>
  <w:style w:type="paragraph" w:customStyle="1" w:styleId="00010">
    <w:name w:val="00010"/>
    <w:basedOn w:val="Normal"/>
    <w:rsid w:val="00915A77"/>
    <w:pPr>
      <w:spacing w:line="280" w:lineRule="atLeast"/>
      <w:ind w:firstLine="6780"/>
    </w:pPr>
    <w:rPr>
      <w:rFonts w:ascii="Times New Roman" w:hAnsi="Times New Roman"/>
      <w:szCs w:val="24"/>
    </w:rPr>
  </w:style>
  <w:style w:type="paragraph" w:customStyle="1" w:styleId="00011">
    <w:name w:val="00011"/>
    <w:basedOn w:val="Normal"/>
    <w:rsid w:val="00915A77"/>
    <w:pPr>
      <w:spacing w:line="280" w:lineRule="atLeast"/>
      <w:ind w:firstLine="144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2699719">
      <w:bodyDiv w:val="1"/>
      <w:marLeft w:val="0"/>
      <w:marRight w:val="0"/>
      <w:marTop w:val="0"/>
      <w:marBottom w:val="0"/>
      <w:divBdr>
        <w:top w:val="none" w:sz="0" w:space="0" w:color="auto"/>
        <w:left w:val="none" w:sz="0" w:space="0" w:color="auto"/>
        <w:bottom w:val="none" w:sz="0" w:space="0" w:color="auto"/>
        <w:right w:val="none" w:sz="0" w:space="0" w:color="auto"/>
      </w:divBdr>
    </w:div>
    <w:div w:id="279335999">
      <w:bodyDiv w:val="1"/>
      <w:marLeft w:val="0"/>
      <w:marRight w:val="0"/>
      <w:marTop w:val="0"/>
      <w:marBottom w:val="0"/>
      <w:divBdr>
        <w:top w:val="none" w:sz="0" w:space="0" w:color="auto"/>
        <w:left w:val="none" w:sz="0" w:space="0" w:color="auto"/>
        <w:bottom w:val="none" w:sz="0" w:space="0" w:color="auto"/>
        <w:right w:val="none" w:sz="0" w:space="0" w:color="auto"/>
      </w:divBdr>
    </w:div>
    <w:div w:id="383064254">
      <w:bodyDiv w:val="1"/>
      <w:marLeft w:val="0"/>
      <w:marRight w:val="0"/>
      <w:marTop w:val="0"/>
      <w:marBottom w:val="0"/>
      <w:divBdr>
        <w:top w:val="none" w:sz="0" w:space="0" w:color="auto"/>
        <w:left w:val="none" w:sz="0" w:space="0" w:color="auto"/>
        <w:bottom w:val="none" w:sz="0" w:space="0" w:color="auto"/>
        <w:right w:val="none" w:sz="0" w:space="0" w:color="auto"/>
      </w:divBdr>
    </w:div>
    <w:div w:id="617295608">
      <w:bodyDiv w:val="1"/>
      <w:marLeft w:val="0"/>
      <w:marRight w:val="0"/>
      <w:marTop w:val="0"/>
      <w:marBottom w:val="0"/>
      <w:divBdr>
        <w:top w:val="none" w:sz="0" w:space="0" w:color="auto"/>
        <w:left w:val="none" w:sz="0" w:space="0" w:color="auto"/>
        <w:bottom w:val="none" w:sz="0" w:space="0" w:color="auto"/>
        <w:right w:val="none" w:sz="0" w:space="0" w:color="auto"/>
      </w:divBdr>
    </w:div>
    <w:div w:id="660617171">
      <w:bodyDiv w:val="1"/>
      <w:marLeft w:val="0"/>
      <w:marRight w:val="0"/>
      <w:marTop w:val="0"/>
      <w:marBottom w:val="0"/>
      <w:divBdr>
        <w:top w:val="none" w:sz="0" w:space="0" w:color="auto"/>
        <w:left w:val="none" w:sz="0" w:space="0" w:color="auto"/>
        <w:bottom w:val="none" w:sz="0" w:space="0" w:color="auto"/>
        <w:right w:val="none" w:sz="0" w:space="0" w:color="auto"/>
      </w:divBdr>
    </w:div>
    <w:div w:id="1123500244">
      <w:bodyDiv w:val="1"/>
      <w:marLeft w:val="0"/>
      <w:marRight w:val="0"/>
      <w:marTop w:val="0"/>
      <w:marBottom w:val="0"/>
      <w:divBdr>
        <w:top w:val="none" w:sz="0" w:space="0" w:color="auto"/>
        <w:left w:val="none" w:sz="0" w:space="0" w:color="auto"/>
        <w:bottom w:val="none" w:sz="0" w:space="0" w:color="auto"/>
        <w:right w:val="none" w:sz="0" w:space="0" w:color="auto"/>
      </w:divBdr>
    </w:div>
    <w:div w:id="1266694090">
      <w:bodyDiv w:val="1"/>
      <w:marLeft w:val="0"/>
      <w:marRight w:val="0"/>
      <w:marTop w:val="0"/>
      <w:marBottom w:val="0"/>
      <w:divBdr>
        <w:top w:val="none" w:sz="0" w:space="0" w:color="auto"/>
        <w:left w:val="none" w:sz="0" w:space="0" w:color="auto"/>
        <w:bottom w:val="none" w:sz="0" w:space="0" w:color="auto"/>
        <w:right w:val="none" w:sz="0" w:space="0" w:color="auto"/>
      </w:divBdr>
    </w:div>
    <w:div w:id="1349521183">
      <w:bodyDiv w:val="1"/>
      <w:marLeft w:val="0"/>
      <w:marRight w:val="0"/>
      <w:marTop w:val="0"/>
      <w:marBottom w:val="0"/>
      <w:divBdr>
        <w:top w:val="none" w:sz="0" w:space="0" w:color="auto"/>
        <w:left w:val="none" w:sz="0" w:space="0" w:color="auto"/>
        <w:bottom w:val="none" w:sz="0" w:space="0" w:color="auto"/>
        <w:right w:val="none" w:sz="0" w:space="0" w:color="auto"/>
      </w:divBdr>
    </w:div>
    <w:div w:id="1356883444">
      <w:bodyDiv w:val="1"/>
      <w:marLeft w:val="0"/>
      <w:marRight w:val="0"/>
      <w:marTop w:val="0"/>
      <w:marBottom w:val="0"/>
      <w:divBdr>
        <w:top w:val="none" w:sz="0" w:space="0" w:color="auto"/>
        <w:left w:val="none" w:sz="0" w:space="0" w:color="auto"/>
        <w:bottom w:val="none" w:sz="0" w:space="0" w:color="auto"/>
        <w:right w:val="none" w:sz="0" w:space="0" w:color="auto"/>
      </w:divBdr>
    </w:div>
    <w:div w:id="1768891175">
      <w:bodyDiv w:val="1"/>
      <w:marLeft w:val="0"/>
      <w:marRight w:val="0"/>
      <w:marTop w:val="0"/>
      <w:marBottom w:val="0"/>
      <w:divBdr>
        <w:top w:val="none" w:sz="0" w:space="0" w:color="auto"/>
        <w:left w:val="none" w:sz="0" w:space="0" w:color="auto"/>
        <w:bottom w:val="none" w:sz="0" w:space="0" w:color="auto"/>
        <w:right w:val="none" w:sz="0" w:space="0" w:color="auto"/>
      </w:divBdr>
    </w:div>
    <w:div w:id="1936555050">
      <w:bodyDiv w:val="1"/>
      <w:marLeft w:val="0"/>
      <w:marRight w:val="0"/>
      <w:marTop w:val="0"/>
      <w:marBottom w:val="0"/>
      <w:divBdr>
        <w:top w:val="none" w:sz="0" w:space="0" w:color="auto"/>
        <w:left w:val="none" w:sz="0" w:space="0" w:color="auto"/>
        <w:bottom w:val="none" w:sz="0" w:space="0" w:color="auto"/>
        <w:right w:val="none" w:sz="0" w:space="0" w:color="auto"/>
      </w:divBdr>
    </w:div>
    <w:div w:id="20693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2649</Words>
  <Characters>15104</Characters>
  <Application>Microsoft Office Word</Application>
  <DocSecurity>0</DocSecurity>
  <Lines>125</Lines>
  <Paragraphs>35</Paragraphs>
  <ScaleCrop>false</ScaleCrop>
  <Company>State of Louisiana</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acunnin</dc:creator>
  <cp:keywords/>
  <dc:description/>
  <cp:lastModifiedBy>acunnin</cp:lastModifiedBy>
  <cp:revision>1</cp:revision>
  <dcterms:created xsi:type="dcterms:W3CDTF">2010-02-26T21:59:00Z</dcterms:created>
  <dcterms:modified xsi:type="dcterms:W3CDTF">2010-02-26T22:04:00Z</dcterms:modified>
</cp:coreProperties>
</file>